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FE6D80" w:rsidRPr="00FE6D80">
        <w:rPr>
          <w:sz w:val="28"/>
          <w:szCs w:val="28"/>
        </w:rPr>
        <w:t>RORS00008/GHZr/TD1</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FE6D80" w:rsidRDefault="00FE6D80" w:rsidP="006F4931">
      <w:pPr>
        <w:spacing w:after="0"/>
        <w:rPr>
          <w:sz w:val="22"/>
          <w:szCs w:val="22"/>
        </w:rPr>
      </w:pPr>
      <w:r w:rsidRPr="00FE6D80">
        <w:rPr>
          <w:sz w:val="22"/>
          <w:szCs w:val="22"/>
        </w:rPr>
        <w:t>General Hospital ”Djordje Jo</w:t>
      </w:r>
      <w:r w:rsidR="007E514B">
        <w:rPr>
          <w:sz w:val="22"/>
          <w:szCs w:val="22"/>
        </w:rPr>
        <w:t>v</w:t>
      </w:r>
      <w:r w:rsidRPr="00FE6D80">
        <w:rPr>
          <w:sz w:val="22"/>
          <w:szCs w:val="22"/>
        </w:rPr>
        <w:t xml:space="preserve">anović” Zrenjanin, </w:t>
      </w:r>
    </w:p>
    <w:p w:rsidR="006F4931" w:rsidRDefault="00FE6D80" w:rsidP="006F4931">
      <w:pPr>
        <w:spacing w:after="0"/>
        <w:rPr>
          <w:sz w:val="22"/>
          <w:szCs w:val="22"/>
        </w:rPr>
      </w:pPr>
      <w:r w:rsidRPr="00FE6D80">
        <w:rPr>
          <w:sz w:val="22"/>
          <w:szCs w:val="22"/>
        </w:rPr>
        <w:t>Dr Vase Savića 5, 23000 Zrenjanin Serbia</w:t>
      </w:r>
    </w:p>
    <w:p w:rsidR="00FE6D80" w:rsidRPr="0036136C" w:rsidRDefault="00FE6D80" w:rsidP="006F4931">
      <w:pPr>
        <w:spacing w:after="0"/>
        <w:rPr>
          <w:sz w:val="22"/>
          <w:szCs w:val="22"/>
        </w:rPr>
      </w:pPr>
      <w:r>
        <w:rPr>
          <w:sz w:val="22"/>
          <w:szCs w:val="22"/>
        </w:rPr>
        <w:t xml:space="preserve">VAT number: </w:t>
      </w:r>
      <w:r w:rsidRPr="00FE6D80">
        <w:rPr>
          <w:sz w:val="22"/>
          <w:szCs w:val="22"/>
        </w:rPr>
        <w:t>105539565</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FE6D80" w:rsidRPr="00FE6D80">
        <w:rPr>
          <w:b/>
          <w:sz w:val="28"/>
        </w:rPr>
        <w:t>HARMONIZATION OF CARDIOVASCULAR DISEASES MANAGEMENT FROM PREVENTION TO HEART TRANSPLANTATION IN THE CROSS BORDER AREA</w:t>
      </w:r>
      <w:r w:rsidR="00FE6D80">
        <w:rPr>
          <w:b/>
          <w:sz w:val="28"/>
        </w:rPr>
        <w:t xml:space="preserve">/ </w:t>
      </w:r>
      <w:r w:rsidR="00FE6D80" w:rsidRPr="00FE6D80">
        <w:rPr>
          <w:b/>
          <w:sz w:val="28"/>
        </w:rPr>
        <w:t>RORS00008</w:t>
      </w:r>
    </w:p>
    <w:p w:rsidR="00E75AAC" w:rsidRPr="0036136C" w:rsidRDefault="00E75AAC" w:rsidP="0036136C">
      <w:pPr>
        <w:spacing w:before="360" w:after="0"/>
        <w:jc w:val="center"/>
        <w:outlineLvl w:val="0"/>
        <w:rPr>
          <w:b/>
          <w:sz w:val="28"/>
        </w:rPr>
      </w:pPr>
      <w:r w:rsidRPr="0036136C">
        <w:rPr>
          <w:b/>
          <w:sz w:val="28"/>
        </w:rPr>
        <w:t xml:space="preserve">CONTRACT TITLE </w:t>
      </w:r>
      <w:r w:rsidR="00FE6D80" w:rsidRPr="00FE6D80">
        <w:rPr>
          <w:b/>
          <w:sz w:val="28"/>
        </w:rPr>
        <w:t>Procurement administrative and financial services</w:t>
      </w:r>
    </w:p>
    <w:p w:rsidR="00E75AAC" w:rsidRPr="0036136C" w:rsidRDefault="00E75AAC" w:rsidP="00E75AAC">
      <w:pPr>
        <w:spacing w:before="240"/>
        <w:jc w:val="center"/>
        <w:outlineLvl w:val="0"/>
        <w:rPr>
          <w:b/>
          <w:sz w:val="22"/>
        </w:rPr>
      </w:pPr>
      <w:r w:rsidRPr="0036136C">
        <w:rPr>
          <w:b/>
          <w:sz w:val="22"/>
        </w:rPr>
        <w:t xml:space="preserve">Identification number </w:t>
      </w:r>
      <w:r w:rsidR="00FE6D80" w:rsidRPr="00FE6D80">
        <w:rPr>
          <w:sz w:val="22"/>
        </w:rPr>
        <w:t>RORS00008/GHZr/TD1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FE6D80" w:rsidRPr="00FE6D80">
        <w:rPr>
          <w:sz w:val="22"/>
          <w:szCs w:val="22"/>
        </w:rPr>
        <w:t xml:space="preserve">Procurement administrative and financial services </w:t>
      </w:r>
      <w:r w:rsidR="00B93DE2" w:rsidRPr="00FE6D80">
        <w:rPr>
          <w:sz w:val="22"/>
          <w:szCs w:val="22"/>
        </w:rPr>
        <w:t>done in</w:t>
      </w:r>
      <w:r w:rsidR="00FE6D80" w:rsidRPr="00FE6D80">
        <w:rPr>
          <w:sz w:val="22"/>
          <w:szCs w:val="22"/>
        </w:rPr>
        <w:t xml:space="preserve"> Zrenjanin/ Serbia</w:t>
      </w:r>
      <w:r w:rsidR="009642E7" w:rsidRPr="00FE6D80">
        <w:rPr>
          <w:sz w:val="22"/>
          <w:szCs w:val="22"/>
        </w:rPr>
        <w:t xml:space="preserve"> with</w:t>
      </w:r>
      <w:r w:rsidR="009642E7" w:rsidRPr="0036136C">
        <w:rPr>
          <w:sz w:val="22"/>
          <w:szCs w:val="22"/>
        </w:rPr>
        <w:t xml:space="preserve"> identification number </w:t>
      </w:r>
      <w:r w:rsidR="00FE6D80" w:rsidRPr="00FE6D80">
        <w:rPr>
          <w:sz w:val="22"/>
          <w:szCs w:val="22"/>
        </w:rPr>
        <w:t>RORS00008/GHZr/TD1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lastRenderedPageBreak/>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FE6D80">
        <w:rPr>
          <w:sz w:val="22"/>
          <w:szCs w:val="22"/>
        </w:rPr>
        <w:t>Key experts (Annex IV)</w:t>
      </w:r>
      <w:r w:rsidR="00A72F21">
        <w:rPr>
          <w:sz w:val="22"/>
          <w:szCs w:val="22"/>
        </w:rPr>
        <w:t xml:space="preserve"> </w:t>
      </w:r>
      <w:r w:rsidRPr="0036136C">
        <w:rPr>
          <w:sz w:val="22"/>
          <w:szCs w:val="22"/>
        </w:rPr>
        <w: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7563C0" w:rsidRPr="00693FED" w:rsidRDefault="007563C0" w:rsidP="008F222F">
      <w:pPr>
        <w:ind w:left="567"/>
        <w:rPr>
          <w:sz w:val="22"/>
          <w:szCs w:val="22"/>
        </w:rPr>
      </w:pP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693FED" w:rsidRPr="00693FED">
        <w:rPr>
          <w:sz w:val="22"/>
          <w:szCs w:val="22"/>
        </w:rPr>
        <w:t>until 25th June 2028</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8E08FB" w:rsidRDefault="008E08FB" w:rsidP="00AD602B">
      <w:pPr>
        <w:autoSpaceDE w:val="0"/>
        <w:autoSpaceDN w:val="0"/>
        <w:adjustRightInd w:val="0"/>
        <w:ind w:left="567"/>
        <w:rPr>
          <w:sz w:val="22"/>
          <w:szCs w:val="22"/>
        </w:rPr>
      </w:pP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5B1EE6">
        <w:trPr>
          <w:cantSplit/>
          <w:trHeight w:val="461"/>
        </w:trPr>
        <w:tc>
          <w:tcPr>
            <w:tcW w:w="1134" w:type="dxa"/>
            <w:tcBorders>
              <w:bottom w:val="nil"/>
            </w:tcBorders>
          </w:tcPr>
          <w:p w:rsidR="00A1628E" w:rsidRPr="005B1EE6" w:rsidRDefault="005B1EE6" w:rsidP="004C5CFC">
            <w:pPr>
              <w:spacing w:after="0"/>
              <w:jc w:val="center"/>
              <w:rPr>
                <w:sz w:val="22"/>
                <w:szCs w:val="22"/>
              </w:rPr>
            </w:pPr>
            <w:r w:rsidRPr="005B1EE6">
              <w:rPr>
                <w:sz w:val="22"/>
                <w:szCs w:val="22"/>
              </w:rPr>
              <w:t xml:space="preserve">Oct </w:t>
            </w:r>
            <w:r>
              <w:rPr>
                <w:sz w:val="22"/>
                <w:szCs w:val="22"/>
              </w:rPr>
              <w:t>20</w:t>
            </w:r>
            <w:r w:rsidRPr="005B1EE6">
              <w:rPr>
                <w:sz w:val="22"/>
                <w:szCs w:val="22"/>
              </w:rPr>
              <w:t>24</w:t>
            </w:r>
          </w:p>
        </w:tc>
        <w:tc>
          <w:tcPr>
            <w:tcW w:w="6078" w:type="dxa"/>
            <w:tcBorders>
              <w:bottom w:val="nil"/>
            </w:tcBorders>
          </w:tcPr>
          <w:p w:rsidR="00A1628E" w:rsidRPr="005B1EE6" w:rsidRDefault="004C5CFC" w:rsidP="005B1EE6">
            <w:pPr>
              <w:spacing w:after="0"/>
              <w:ind w:left="567" w:hanging="567"/>
              <w:rPr>
                <w:sz w:val="22"/>
                <w:szCs w:val="22"/>
              </w:rPr>
            </w:pPr>
            <w:r w:rsidRPr="005B1EE6">
              <w:rPr>
                <w:sz w:val="22"/>
                <w:szCs w:val="22"/>
              </w:rPr>
              <w:t xml:space="preserve">Interim payment </w:t>
            </w:r>
          </w:p>
        </w:tc>
        <w:tc>
          <w:tcPr>
            <w:tcW w:w="1520" w:type="dxa"/>
            <w:tcBorders>
              <w:bottom w:val="nil"/>
            </w:tcBorders>
          </w:tcPr>
          <w:p w:rsidR="00A1628E" w:rsidRPr="0036136C" w:rsidRDefault="00A1628E" w:rsidP="00B778FF">
            <w:pPr>
              <w:spacing w:after="0"/>
              <w:jc w:val="center"/>
              <w:rPr>
                <w:sz w:val="22"/>
                <w:szCs w:val="22"/>
              </w:rPr>
            </w:pPr>
            <w:r w:rsidRPr="0036136C">
              <w:rPr>
                <w:sz w:val="22"/>
                <w:szCs w:val="22"/>
              </w:rPr>
              <w:t>&lt;</w:t>
            </w:r>
            <w:r w:rsidR="00B778FF">
              <w:rPr>
                <w:sz w:val="22"/>
                <w:szCs w:val="22"/>
                <w:highlight w:val="yellow"/>
              </w:rPr>
              <w:t>5</w:t>
            </w:r>
            <w:r w:rsidRPr="00104095">
              <w:rPr>
                <w:sz w:val="22"/>
                <w:szCs w:val="22"/>
                <w:highlight w:val="yellow"/>
              </w:rPr>
              <w:t>% of the contract value</w:t>
            </w:r>
            <w:r w:rsidRPr="0036136C">
              <w:rPr>
                <w:sz w:val="22"/>
                <w:szCs w:val="22"/>
              </w:rPr>
              <w:t>&gt;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lastRenderedPageBreak/>
              <w:t xml:space="preserve">Jan </w:t>
            </w:r>
            <w:r>
              <w:rPr>
                <w:sz w:val="22"/>
                <w:szCs w:val="22"/>
              </w:rPr>
              <w:t>20</w:t>
            </w:r>
            <w:r w:rsidRPr="005B1EE6">
              <w:rPr>
                <w:sz w:val="22"/>
                <w:szCs w:val="22"/>
              </w:rPr>
              <w:t>25</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Apr </w:t>
            </w:r>
            <w:r>
              <w:rPr>
                <w:sz w:val="22"/>
                <w:szCs w:val="22"/>
              </w:rPr>
              <w:t>20</w:t>
            </w:r>
            <w:r w:rsidRPr="005B1EE6">
              <w:rPr>
                <w:sz w:val="22"/>
                <w:szCs w:val="22"/>
              </w:rPr>
              <w:t>25</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Jul </w:t>
            </w:r>
            <w:r>
              <w:rPr>
                <w:sz w:val="22"/>
                <w:szCs w:val="22"/>
              </w:rPr>
              <w:t>20</w:t>
            </w:r>
            <w:r w:rsidRPr="005B1EE6">
              <w:rPr>
                <w:sz w:val="22"/>
                <w:szCs w:val="22"/>
              </w:rPr>
              <w:t>25</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Oct </w:t>
            </w:r>
            <w:r>
              <w:rPr>
                <w:sz w:val="22"/>
                <w:szCs w:val="22"/>
              </w:rPr>
              <w:t>20</w:t>
            </w:r>
            <w:r w:rsidRPr="005B1EE6">
              <w:rPr>
                <w:sz w:val="22"/>
                <w:szCs w:val="22"/>
              </w:rPr>
              <w:t>25</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rPr>
            </w:pPr>
            <w:r>
              <w:rPr>
                <w:sz w:val="22"/>
                <w:szCs w:val="22"/>
              </w:rPr>
              <w:t>Oct 2025</w:t>
            </w:r>
          </w:p>
        </w:tc>
        <w:tc>
          <w:tcPr>
            <w:tcW w:w="6078" w:type="dxa"/>
            <w:tcBorders>
              <w:bottom w:val="nil"/>
            </w:tcBorders>
          </w:tcPr>
          <w:p w:rsidR="00B778FF" w:rsidRPr="005B1EE6" w:rsidRDefault="00B778FF">
            <w:pPr>
              <w:rPr>
                <w:sz w:val="22"/>
                <w:szCs w:val="22"/>
              </w:rPr>
            </w:pPr>
            <w:r w:rsidRPr="005B1EE6">
              <w:rPr>
                <w:sz w:val="22"/>
                <w:szCs w:val="22"/>
              </w:rPr>
              <w:t>Interim payment</w:t>
            </w:r>
            <w:r>
              <w:rPr>
                <w:sz w:val="22"/>
                <w:szCs w:val="22"/>
              </w:rPr>
              <w:t xml:space="preserve"> if all tender dossiers are finished</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w:t>
            </w:r>
            <w:r>
              <w:rPr>
                <w:sz w:val="22"/>
                <w:szCs w:val="22"/>
                <w:highlight w:val="yellow"/>
              </w:rPr>
              <w:t>20</w:t>
            </w:r>
            <w:r w:rsidRPr="00B778FF">
              <w:rPr>
                <w:sz w:val="22"/>
                <w:szCs w:val="22"/>
                <w:highlight w:val="yellow"/>
              </w:rPr>
              <w:t>%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Jan </w:t>
            </w:r>
            <w:r>
              <w:rPr>
                <w:sz w:val="22"/>
                <w:szCs w:val="22"/>
              </w:rPr>
              <w:t>20</w:t>
            </w:r>
            <w:r w:rsidRPr="005B1EE6">
              <w:rPr>
                <w:sz w:val="22"/>
                <w:szCs w:val="22"/>
              </w:rPr>
              <w:t>26</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Apr </w:t>
            </w:r>
            <w:r>
              <w:rPr>
                <w:sz w:val="22"/>
                <w:szCs w:val="22"/>
              </w:rPr>
              <w:t>20</w:t>
            </w:r>
            <w:r w:rsidRPr="005B1EE6">
              <w:rPr>
                <w:sz w:val="22"/>
                <w:szCs w:val="22"/>
              </w:rPr>
              <w:t>26</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5B1EE6">
            <w:pPr>
              <w:spacing w:after="0"/>
              <w:jc w:val="center"/>
              <w:rPr>
                <w:sz w:val="22"/>
                <w:szCs w:val="22"/>
                <w:highlight w:val="yellow"/>
              </w:rPr>
            </w:pPr>
            <w:r w:rsidRPr="005B1EE6">
              <w:rPr>
                <w:sz w:val="22"/>
                <w:szCs w:val="22"/>
              </w:rPr>
              <w:t xml:space="preserve">Jul </w:t>
            </w:r>
            <w:r>
              <w:rPr>
                <w:sz w:val="22"/>
                <w:szCs w:val="22"/>
              </w:rPr>
              <w:t>20</w:t>
            </w:r>
            <w:r w:rsidRPr="005B1EE6">
              <w:rPr>
                <w:sz w:val="22"/>
                <w:szCs w:val="22"/>
              </w:rPr>
              <w:t>26</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 xml:space="preserve">Oct </w:t>
            </w:r>
            <w:r>
              <w:rPr>
                <w:sz w:val="22"/>
                <w:szCs w:val="22"/>
              </w:rPr>
              <w:t>20</w:t>
            </w:r>
            <w:r w:rsidRPr="005B1EE6">
              <w:rPr>
                <w:sz w:val="22"/>
                <w:szCs w:val="22"/>
              </w:rPr>
              <w:t>26</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Jan 2027</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Apr 2027</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July 2027</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Oct 2027</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Jan 2028</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4C5CFC">
        <w:trPr>
          <w:cantSplit/>
          <w:trHeight w:val="303"/>
        </w:trPr>
        <w:tc>
          <w:tcPr>
            <w:tcW w:w="1134" w:type="dxa"/>
            <w:tcBorders>
              <w:bottom w:val="nil"/>
            </w:tcBorders>
          </w:tcPr>
          <w:p w:rsidR="00B778FF" w:rsidRPr="005B1EE6" w:rsidRDefault="00B778FF" w:rsidP="004C5CFC">
            <w:pPr>
              <w:spacing w:after="0"/>
              <w:jc w:val="center"/>
              <w:rPr>
                <w:sz w:val="22"/>
                <w:szCs w:val="22"/>
                <w:highlight w:val="yellow"/>
              </w:rPr>
            </w:pPr>
            <w:r w:rsidRPr="005B1EE6">
              <w:rPr>
                <w:sz w:val="22"/>
                <w:szCs w:val="22"/>
              </w:rPr>
              <w:t>Apr 2028</w:t>
            </w:r>
          </w:p>
        </w:tc>
        <w:tc>
          <w:tcPr>
            <w:tcW w:w="6078" w:type="dxa"/>
            <w:tcBorders>
              <w:bottom w:val="nil"/>
            </w:tcBorders>
          </w:tcPr>
          <w:p w:rsidR="00B778FF" w:rsidRPr="005B1EE6" w:rsidRDefault="00B778FF">
            <w:r w:rsidRPr="005B1EE6">
              <w:rPr>
                <w:sz w:val="22"/>
                <w:szCs w:val="22"/>
              </w:rPr>
              <w:t xml:space="preserve">Interim payment </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B778FF" w:rsidRPr="0036136C" w:rsidTr="005B1EE6">
        <w:trPr>
          <w:cantSplit/>
          <w:trHeight w:val="757"/>
        </w:trPr>
        <w:tc>
          <w:tcPr>
            <w:tcW w:w="1134" w:type="dxa"/>
            <w:tcBorders>
              <w:bottom w:val="nil"/>
            </w:tcBorders>
          </w:tcPr>
          <w:p w:rsidR="00B778FF" w:rsidRPr="005B1EE6" w:rsidRDefault="00B778FF" w:rsidP="004C5CFC">
            <w:pPr>
              <w:spacing w:after="0"/>
              <w:jc w:val="center"/>
              <w:rPr>
                <w:sz w:val="22"/>
                <w:szCs w:val="22"/>
              </w:rPr>
            </w:pPr>
            <w:r w:rsidRPr="005B1EE6">
              <w:rPr>
                <w:sz w:val="22"/>
                <w:szCs w:val="22"/>
              </w:rPr>
              <w:t>June 2028</w:t>
            </w:r>
          </w:p>
        </w:tc>
        <w:tc>
          <w:tcPr>
            <w:tcW w:w="6078" w:type="dxa"/>
            <w:tcBorders>
              <w:bottom w:val="nil"/>
            </w:tcBorders>
          </w:tcPr>
          <w:p w:rsidR="00B778FF" w:rsidRPr="005B1EE6" w:rsidRDefault="00B778FF" w:rsidP="004C5CFC">
            <w:pPr>
              <w:spacing w:after="0"/>
              <w:rPr>
                <w:sz w:val="22"/>
                <w:szCs w:val="22"/>
              </w:rPr>
            </w:pPr>
            <w:r w:rsidRPr="005B1EE6">
              <w:rPr>
                <w:sz w:val="22"/>
                <w:szCs w:val="22"/>
              </w:rPr>
              <w:t>Balance</w:t>
            </w:r>
          </w:p>
        </w:tc>
        <w:tc>
          <w:tcPr>
            <w:tcW w:w="1520" w:type="dxa"/>
            <w:tcBorders>
              <w:bottom w:val="nil"/>
            </w:tcBorders>
          </w:tcPr>
          <w:p w:rsidR="00B778FF" w:rsidRPr="00B778FF" w:rsidRDefault="00B778FF" w:rsidP="00B778FF">
            <w:pPr>
              <w:spacing w:after="0"/>
              <w:jc w:val="center"/>
              <w:rPr>
                <w:sz w:val="22"/>
                <w:szCs w:val="22"/>
                <w:highlight w:val="yellow"/>
              </w:rPr>
            </w:pPr>
            <w:r w:rsidRPr="00B778FF">
              <w:rPr>
                <w:sz w:val="22"/>
                <w:szCs w:val="22"/>
                <w:highlight w:val="yellow"/>
              </w:rPr>
              <w:t>&lt;5% of the contract value&gt;</w:t>
            </w: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 xml:space="preserve">By derogation, the payments to the contractor of the amounts due under interim and final payments shall be made within 90 days after receipt by the contracting authority of an </w:t>
      </w:r>
      <w:r w:rsidRPr="00A11AD4">
        <w:rPr>
          <w:sz w:val="22"/>
          <w:szCs w:val="22"/>
        </w:rPr>
        <w:lastRenderedPageBreak/>
        <w:t>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Trade Court Zrenjanin</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lastRenderedPageBreak/>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C8A" w:rsidRDefault="00364C8A">
      <w:r>
        <w:separator/>
      </w:r>
    </w:p>
  </w:endnote>
  <w:endnote w:type="continuationSeparator" w:id="1">
    <w:p w:rsidR="00364C8A" w:rsidRDefault="00364C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4E1C5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4E1C5B" w:rsidRPr="00953EE9">
      <w:rPr>
        <w:rStyle w:val="PageNumber"/>
        <w:rFonts w:ascii="Times New Roman" w:hAnsi="Times New Roman"/>
        <w:sz w:val="18"/>
        <w:szCs w:val="18"/>
      </w:rPr>
      <w:fldChar w:fldCharType="separate"/>
    </w:r>
    <w:r w:rsidR="00B778FF">
      <w:rPr>
        <w:rStyle w:val="PageNumber"/>
        <w:rFonts w:ascii="Times New Roman" w:hAnsi="Times New Roman"/>
        <w:noProof/>
        <w:sz w:val="18"/>
        <w:szCs w:val="18"/>
      </w:rPr>
      <w:t>4</w:t>
    </w:r>
    <w:r w:rsidR="004E1C5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4E1C5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4E1C5B" w:rsidRPr="00953EE9">
      <w:rPr>
        <w:rStyle w:val="PageNumber"/>
        <w:rFonts w:ascii="Times New Roman" w:hAnsi="Times New Roman"/>
        <w:sz w:val="18"/>
        <w:szCs w:val="18"/>
      </w:rPr>
      <w:fldChar w:fldCharType="separate"/>
    </w:r>
    <w:r w:rsidR="00B778FF">
      <w:rPr>
        <w:rStyle w:val="PageNumber"/>
        <w:rFonts w:ascii="Times New Roman" w:hAnsi="Times New Roman"/>
        <w:noProof/>
        <w:sz w:val="18"/>
        <w:szCs w:val="18"/>
      </w:rPr>
      <w:t>6</w:t>
    </w:r>
    <w:r w:rsidR="004E1C5B" w:rsidRPr="00953EE9">
      <w:rPr>
        <w:rStyle w:val="PageNumber"/>
        <w:rFonts w:ascii="Times New Roman" w:hAnsi="Times New Roman"/>
        <w:sz w:val="18"/>
        <w:szCs w:val="18"/>
      </w:rPr>
      <w:fldChar w:fldCharType="end"/>
    </w:r>
  </w:p>
  <w:p w:rsidR="002C37E4" w:rsidRPr="00953EE9" w:rsidRDefault="004E1C5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4E1C5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4E1C5B" w:rsidRPr="00953EE9">
      <w:rPr>
        <w:rStyle w:val="PageNumber"/>
        <w:rFonts w:ascii="Times New Roman" w:hAnsi="Times New Roman"/>
        <w:sz w:val="18"/>
        <w:szCs w:val="18"/>
      </w:rPr>
      <w:fldChar w:fldCharType="separate"/>
    </w:r>
    <w:r w:rsidR="00B778FF">
      <w:rPr>
        <w:rStyle w:val="PageNumber"/>
        <w:rFonts w:ascii="Times New Roman" w:hAnsi="Times New Roman"/>
        <w:noProof/>
        <w:sz w:val="18"/>
        <w:szCs w:val="18"/>
      </w:rPr>
      <w:t>1</w:t>
    </w:r>
    <w:r w:rsidR="004E1C5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4E1C5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4E1C5B" w:rsidRPr="00953EE9">
      <w:rPr>
        <w:rStyle w:val="PageNumber"/>
        <w:rFonts w:ascii="Times New Roman" w:hAnsi="Times New Roman"/>
        <w:sz w:val="18"/>
        <w:szCs w:val="18"/>
      </w:rPr>
      <w:fldChar w:fldCharType="separate"/>
    </w:r>
    <w:r w:rsidR="00B778FF">
      <w:rPr>
        <w:rStyle w:val="PageNumber"/>
        <w:rFonts w:ascii="Times New Roman" w:hAnsi="Times New Roman"/>
        <w:noProof/>
        <w:sz w:val="18"/>
        <w:szCs w:val="18"/>
      </w:rPr>
      <w:t>1</w:t>
    </w:r>
    <w:r w:rsidR="004E1C5B" w:rsidRPr="00953EE9">
      <w:rPr>
        <w:rStyle w:val="PageNumber"/>
        <w:rFonts w:ascii="Times New Roman" w:hAnsi="Times New Roman"/>
        <w:sz w:val="18"/>
        <w:szCs w:val="18"/>
      </w:rPr>
      <w:fldChar w:fldCharType="end"/>
    </w:r>
  </w:p>
  <w:p w:rsidR="002C37E4" w:rsidRPr="00953EE9" w:rsidRDefault="004E1C5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C8A" w:rsidRDefault="00364C8A" w:rsidP="002D5121">
      <w:pPr>
        <w:spacing w:before="120" w:after="0"/>
      </w:pPr>
      <w:r>
        <w:separator/>
      </w:r>
    </w:p>
  </w:footnote>
  <w:footnote w:type="continuationSeparator" w:id="1">
    <w:p w:rsidR="00364C8A" w:rsidRDefault="00364C8A">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3250"/>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149</TotalTime>
  <Pages>6</Pages>
  <Words>1394</Words>
  <Characters>7947</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
  <LinksUpToDate>false</LinksUpToDate>
  <CharactersWithSpaces>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2024-07-28T15:44:00Z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